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山东省职业教育集团认定评价参考指标</w:t>
      </w:r>
    </w:p>
    <w:bookmarkEnd w:id="0"/>
    <w:tbl>
      <w:tblPr>
        <w:tblStyle w:val="3"/>
        <w:tblW w:w="13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372"/>
        <w:gridCol w:w="7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二级指标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三级指标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ind w:firstLine="2730" w:firstLineChars="13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A1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基础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建设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(25分)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B1集团组织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(7分)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C1集团规模（2分）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成员单位30家以上（1分）；企业单位成员总产值2亿元以上（1分）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C2成员结构(2分)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包括行业、企业、中职、高职、本科高校院系、科研机构（1分）；其中行业、企业单位占60%以上（1分）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C3内部机构(3分)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具有理事会或董事会等决策机构(1分)；设立独立的秘书处等执行、协调机构(1分)；设立教学指导委员会、就业指导委员会等专业性委员会（1分）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B2章程制度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(9分)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C4集团章程（2分）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章程规范、科学，集团性质、目标、任务及各方责权利界定清晰，具有操作性（2分）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C5运行制度（5分）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制度系统、完善。有理事会会议制度(1分)；有信息沟通制度（1分）；有财务公开制度（1分）；有资源共享成本补偿制度（1分）；有成员加盟与退出制度（1分）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C6治理结构（2分）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集团注册社团法人或民办非企业单位法人（1分）；经费投入制度合法（1分）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B3目标定位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（4分）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C7战略定位（2分）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对体制机制改革、人才培养模式、资源共享、体系构建等方面定位科学合理（1分）；并有大胆的实践创新（1分）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C8发展规划（2分）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涵盖社会服务、校校合作、校企合作、区域支援等（1分）；与职业教育发展、区域经济发展高度吻合（1分）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B4牵头单位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(5分)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C9办学规模（学校）/固定资产（企业）/组织级别（行业组织）(3分)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牵头学校是国家或省级示范（骨干、特色）院校，牵头高职院校在校生1万人以上，牵头中职学校在校生4000人以上（1分）；牵头企业固定资产1亿元以上（1分）；牵头行业组织为地市级以上行业组织（1分）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C10知名度（2分）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在省内具有较高知名度（2分）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A2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运行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(22分)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B5集团管理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(10分)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C11日常工作（2分）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成员单位积极参与集团的计划、总结、会议、活动等日常工作（1分）；资料齐全，管理规范（1分）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C12信息交流（2分）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建立信息交流平台（1分）；平台内容及时更新，信息对称（1分）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C13资金管理（4分）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集团自身具备资金筹措功能，或有稳定的多元化的资金来源，能满足集团日常运行与共享资源维护的需要（3分）；经费管理明晰，财务管理制度完善，管理规范，账目清楚，并定期向成员单位公开（1分）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C14研究探索（2分）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集团成员自觉参与集团化办学理论研究和实践探索（2分）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B6运作机制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(8分)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C15会商机制（2分）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建立政府、行业、企业、学校、科研机构和其他社会组织常态化的定期会商机制，举办校企对接有关活动。（2分）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C16决策机制（2分）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涉及集团章程修改、机构改革、制度制订、考核评比、重点项目、成员加盟与退出等重大决策内容时，有规范、科学的决策机制和决策程序（1分）；决策结果得到全面贯彻落实，执行效果良好（1分）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C17考评机制（2分）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建立广泛参与的全面的考核机制，标准详细、可操作性强（1分）；考核程序严格、规范，考核结果客观、公正，成效明显（1分）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C18奖惩机制（2分）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建立与考评对应的奖惩机制（1分）；有各级各类考核主体参与的奖励机制（1分）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B7合作机制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(4分)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C19校企合作（1分）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有专业共建、人才师资共培、科研共攻、文化共传等校企合作机制（1分）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C20校校合作(2分)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有专业统筹、资源共享、人才联培、服务共推等机制，协调统一教学标准、质量评价（1分）；参与“3+2”（高职+本科）、“3+4”（中职+本科）、“三二连读”、“五年一贯制”、专业学位研究生教育等贯通培养模式改革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C21区域合作(1分)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有信息交流平台，合作交流、合作培养、合作就业、国际交流等区域合作机制（1分）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A3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办学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水平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(19分)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B8专业建设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(14分)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C22专业结构(2分)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集团院校专业（群）结构与区域产业结构相吻合(1分)；专业与企业培训相衔接(1分)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C23实训基地(2分)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集团成员有10个以上共享性教学实训基地(1分)；有3个以上省级实训基地(1分)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C24培养模式(4分)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集团成员均采用现代学徒制、委托培养、定向培养、订单培养等校企深度合作的人才培养模式，效果良好(2分)；订单培养人数达1000人以上(1分)；订单培养学生覆盖率10%以上(1分)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C25校企对接(6分)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集团内建立兼职教师库（1分）；企业兼职教师达学校专业教师的20%以上（1分）；校企合作开发课程20门以上（1分），合作开发教材20本以上（2分）；成员学校教师参与企业技术研发取得3项以上科研成果（1分）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B9办学成就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（5分）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C26教学成果(2分)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集团成员教学、科研成果丰硕，有省级精品课程、科研课题、教研成果等标志性成果5个以上（2分）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C27创新成果（2分）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集团成员办学有特色项目和特色优势，有省级以上推广创新成果（2分）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C28就业能力（1分）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集团内院校培养的学生受企业和社会欢迎，在省内同类院校中处于领先地位（1分）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A4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服务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能力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(18分)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B10区域经济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（5分）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C29专业覆盖面（1分）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集团内院校专业集群覆盖面广，在全省影响力大，能够为当地支柱产业、新型战略产业培养足够的技术技能人才（1分）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C30年毕业生数（1分）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集团院校年毕业生数在10000人以上（1分）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C31年培训人数（3分）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面向社会建立技能鉴定机构（1分）；集团年培训职工数达2000人以上（1分）；技能鉴定工种类别达10个以上，覆盖率达集团内各院校主体专业的100%（1分）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B11社会发展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（6分）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C32资源整合（3分）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人力资源综合利用效果好，课程开放程度高（1分）；建立资源库共享网站（1分）；共享精品课程资源40门以上（1分）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C33社会服务（3分）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积极承担和参加社会服务项目（1分）；技术服务成果每年到账经费500万以上（2分）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B12就业创业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（7分）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C34就业创业指导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利用共享机制实行联合招聘、就业创业能力培养、面向社会建立就业指导机构（2分）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C35就业质量(5分)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毕业生广受企业欢迎，集团内院校近三年毕业生就业率90%以上（1分），对口就业率85%以上（1分），双证书率达90%以上（1分），集团内部就业率20%以上（1分），学生薪资高于当地平均水平，具有较好的可持续发展能力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A5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成效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创新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(11分)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B13运行成效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（5分）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C36课程体系衔接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中、高职及本科人才培养目标、专业结构、课程体系、教学过程、信息技术、成长途径、教师培养、评价模式等均统筹衔接（1分）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C37行业特色（2分）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集团文化体现行业或区域特色（2分）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C38社会影响力（2分）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在全国同类职教集团中形成比较优势，具有广泛的社会影响，以城带乡，以强带弱效果好，国际交流方面成效明显（2分）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B14改革创新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（6分）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C39招考制度改革(3分)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主干专业上下贯通培养开展成效显著（1分），自主招生录取制度实施且运行良好（2分）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C40管理制度改革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在集团治理结构、运行管理等方面有改革且效果显著（1分）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C41体制机制创新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在集团体制、运行机制、产权改革、投融资方式等方面有创新且效果显著（2分）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A6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保障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措施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  <w:r>
              <w:rPr>
                <w:rFonts w:hint="eastAsia" w:ascii="汉仪书宋一简" w:hAnsi="宋体" w:eastAsia="汉仪书宋一简"/>
                <w:b/>
                <w:szCs w:val="21"/>
              </w:rPr>
              <w:t>(5分)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B15政府支持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（2分）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C42政策支持（1分）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市级政府或主管部门有支持集团化办学的政策，有统筹协调、监督管理的制度，并切实实施（1分）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C43经费投入（1分）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政府或主管部门有对职业教育集团化办学的奖励性引导资金投入（1分）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B16行业指导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（3分）</w:t>
            </w: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C44行业标准建设</w:t>
            </w:r>
          </w:p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（2分）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集团内行业组织成员及时发布行业人才需求信息（1分）</w:t>
            </w:r>
            <w:r>
              <w:rPr>
                <w:rFonts w:hint="eastAsia" w:ascii="汉仪书宋一简" w:hAnsi="宋体" w:eastAsia="汉仪书宋一简"/>
                <w:b/>
                <w:szCs w:val="21"/>
              </w:rPr>
              <w:t>，</w:t>
            </w:r>
            <w:r>
              <w:rPr>
                <w:rFonts w:hint="eastAsia" w:ascii="汉仪书宋一简" w:hAnsi="宋体" w:eastAsia="汉仪书宋一简"/>
                <w:szCs w:val="21"/>
              </w:rPr>
              <w:t>提供行业规范，推动行业标准建设（1分）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b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C45资源共建（1分）</w:t>
            </w:r>
          </w:p>
        </w:tc>
        <w:tc>
          <w:tcPr>
            <w:tcW w:w="7976" w:type="dxa"/>
            <w:vAlign w:val="center"/>
          </w:tcPr>
          <w:p>
            <w:pPr>
              <w:spacing w:line="32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协调行业优势资源，推进集团成员之间资源共建共享，项目合作攻关（1分）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zM4N2JiZDA5NjFjNmU3YjY2MmM3MjUxYTQzZjcifQ=="/>
  </w:docVars>
  <w:rsids>
    <w:rsidRoot w:val="6DBF4056"/>
    <w:rsid w:val="6DB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2023-04-12T00:49:00Z</dcterms:created>
  <dc:creator>小小白</dc:creator>
  <cp:lastModifiedBy>小小白</cp:lastModifiedBy>
  <dcterms:modified xsi:type="dcterms:W3CDTF">2023-04-12T00:50:18Z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D75BBF1E9DA444B08C03B92FBBEC7E52_11</vt:lpwstr>
  </property>
</Properties>
</file>